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Spacing w:w="0" w:type="dxa"/>
        <w:tblCellMar>
          <w:left w:w="0" w:type="dxa"/>
          <w:right w:w="0" w:type="dxa"/>
        </w:tblCellMar>
        <w:tblLook w:val="04A0" w:firstRow="1" w:lastRow="0" w:firstColumn="1" w:lastColumn="0" w:noHBand="0" w:noVBand="1"/>
      </w:tblPr>
      <w:tblGrid>
        <w:gridCol w:w="3855"/>
        <w:gridCol w:w="5490"/>
      </w:tblGrid>
      <w:tr w:rsidR="00F13707" w:rsidRPr="006C70BE" w14:paraId="5A89F1C0" w14:textId="77777777" w:rsidTr="00935F63">
        <w:trPr>
          <w:tblCellSpacing w:w="0" w:type="dxa"/>
        </w:trPr>
        <w:tc>
          <w:tcPr>
            <w:tcW w:w="3855" w:type="dxa"/>
            <w:hideMark/>
          </w:tcPr>
          <w:p w14:paraId="73EDF970" w14:textId="77777777" w:rsidR="00F13707" w:rsidRPr="00BA0AAB" w:rsidRDefault="00F13707" w:rsidP="00935F63">
            <w:pPr>
              <w:spacing w:before="120" w:after="120"/>
              <w:ind w:right="120"/>
              <w:rPr>
                <w:color w:val="000000"/>
                <w:sz w:val="20"/>
                <w:szCs w:val="20"/>
              </w:rPr>
            </w:pPr>
            <w:r w:rsidRPr="00BA0AAB">
              <w:rPr>
                <w:color w:val="000000"/>
                <w:sz w:val="20"/>
                <w:szCs w:val="20"/>
              </w:rPr>
              <w:t> </w:t>
            </w:r>
            <w:r>
              <w:rPr>
                <w:noProof/>
                <w:color w:val="000000"/>
                <w:sz w:val="20"/>
                <w:szCs w:val="20"/>
              </w:rPr>
              <w:drawing>
                <wp:inline distT="0" distB="0" distL="0" distR="0" wp14:anchorId="62FD8FB0" wp14:editId="347E517E">
                  <wp:extent cx="1466088" cy="573024"/>
                  <wp:effectExtent l="0" t="0" r="127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burnLogos2014c.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66088" cy="573024"/>
                          </a:xfrm>
                          <a:prstGeom prst="rect">
                            <a:avLst/>
                          </a:prstGeom>
                        </pic:spPr>
                      </pic:pic>
                    </a:graphicData>
                  </a:graphic>
                </wp:inline>
              </w:drawing>
            </w:r>
          </w:p>
        </w:tc>
        <w:tc>
          <w:tcPr>
            <w:tcW w:w="5490" w:type="dxa"/>
            <w:hideMark/>
          </w:tcPr>
          <w:p w14:paraId="0B872458" w14:textId="177DB943" w:rsidR="00F13707" w:rsidRPr="006C70BE" w:rsidRDefault="00F13707" w:rsidP="009F778E">
            <w:pPr>
              <w:pStyle w:val="NormalWeb"/>
              <w:spacing w:line="276" w:lineRule="auto"/>
              <w:ind w:left="120" w:right="120"/>
              <w:jc w:val="right"/>
              <w:rPr>
                <w:rFonts w:asciiTheme="minorHAnsi" w:hAnsiTheme="minorHAnsi"/>
                <w:color w:val="000000"/>
                <w:sz w:val="20"/>
                <w:szCs w:val="20"/>
              </w:rPr>
            </w:pPr>
            <w:r w:rsidRPr="006C70BE">
              <w:rPr>
                <w:rStyle w:val="Strong"/>
                <w:rFonts w:asciiTheme="minorHAnsi" w:hAnsiTheme="minorHAnsi"/>
                <w:color w:val="000000"/>
                <w:sz w:val="20"/>
                <w:szCs w:val="20"/>
              </w:rPr>
              <w:t>Contact</w:t>
            </w:r>
            <w:r w:rsidRPr="006C70BE">
              <w:rPr>
                <w:rFonts w:asciiTheme="minorHAnsi" w:hAnsiTheme="minorHAnsi"/>
                <w:color w:val="000000"/>
                <w:sz w:val="20"/>
                <w:szCs w:val="20"/>
              </w:rPr>
              <w:t>: Lillian Matchett</w:t>
            </w:r>
            <w:r w:rsidRPr="006C70BE">
              <w:rPr>
                <w:rFonts w:asciiTheme="minorHAnsi" w:hAnsiTheme="minorHAnsi"/>
                <w:color w:val="000000"/>
                <w:sz w:val="20"/>
                <w:szCs w:val="20"/>
              </w:rPr>
              <w:br/>
              <w:t> </w:t>
            </w:r>
            <w:hyperlink r:id="rId7" w:history="1">
              <w:r w:rsidRPr="006C70BE">
                <w:rPr>
                  <w:rStyle w:val="Hyperlink"/>
                  <w:rFonts w:asciiTheme="minorHAnsi" w:hAnsiTheme="minorHAnsi"/>
                  <w:sz w:val="20"/>
                  <w:szCs w:val="20"/>
                </w:rPr>
                <w:t>lmatchett@colburnschool.edu</w:t>
              </w:r>
            </w:hyperlink>
            <w:r w:rsidRPr="006C70BE">
              <w:rPr>
                <w:rFonts w:asciiTheme="minorHAnsi" w:hAnsiTheme="minorHAnsi"/>
                <w:color w:val="000000"/>
                <w:sz w:val="20"/>
                <w:szCs w:val="20"/>
              </w:rPr>
              <w:br/>
            </w:r>
            <w:r w:rsidR="009F778E" w:rsidRPr="006C70BE">
              <w:rPr>
                <w:rFonts w:asciiTheme="minorHAnsi" w:hAnsiTheme="minorHAnsi"/>
                <w:color w:val="000000"/>
                <w:sz w:val="20"/>
                <w:szCs w:val="20"/>
              </w:rPr>
              <w:t>(213) 621-</w:t>
            </w:r>
            <w:r w:rsidRPr="006C70BE">
              <w:rPr>
                <w:rFonts w:asciiTheme="minorHAnsi" w:hAnsiTheme="minorHAnsi"/>
                <w:color w:val="000000"/>
                <w:sz w:val="20"/>
                <w:szCs w:val="20"/>
              </w:rPr>
              <w:t>1064</w:t>
            </w:r>
          </w:p>
        </w:tc>
      </w:tr>
    </w:tbl>
    <w:p w14:paraId="790C2BE9" w14:textId="77777777" w:rsidR="00F13707" w:rsidRDefault="00F13707" w:rsidP="00F13707">
      <w:pPr>
        <w:tabs>
          <w:tab w:val="left" w:pos="2790"/>
        </w:tabs>
        <w:spacing w:after="0" w:line="240" w:lineRule="auto"/>
        <w:rPr>
          <w:rFonts w:ascii="Adobe Garamond Pro" w:hAnsi="Adobe Garamond Pro"/>
          <w:sz w:val="32"/>
          <w:szCs w:val="32"/>
        </w:rPr>
      </w:pPr>
    </w:p>
    <w:p w14:paraId="04F4AEB2" w14:textId="79ABD725" w:rsidR="006C0C4B" w:rsidRPr="00A05DB2" w:rsidRDefault="0015339B" w:rsidP="006C0C4B">
      <w:pPr>
        <w:rPr>
          <w:sz w:val="32"/>
          <w:szCs w:val="32"/>
        </w:rPr>
      </w:pPr>
      <w:r w:rsidRPr="00F13707">
        <w:rPr>
          <w:rFonts w:ascii="Adobe Garamond Pro" w:hAnsi="Adobe Garamond Pro"/>
          <w:sz w:val="32"/>
          <w:szCs w:val="32"/>
        </w:rPr>
        <w:t>Facilities and Performance Spaces</w:t>
      </w:r>
      <w:r w:rsidRPr="00A11F7E">
        <w:rPr>
          <w:rFonts w:ascii="ScalaSansPro" w:hAnsi="ScalaSansPro"/>
          <w:b/>
          <w:sz w:val="20"/>
          <w:szCs w:val="20"/>
        </w:rPr>
        <w:br/>
      </w:r>
      <w:r w:rsidR="00F13707">
        <w:rPr>
          <w:rFonts w:ascii="ScalaSansPro" w:hAnsi="ScalaSansPro"/>
          <w:sz w:val="20"/>
          <w:szCs w:val="20"/>
        </w:rPr>
        <w:br/>
      </w:r>
      <w:r w:rsidR="00637CB6" w:rsidRPr="00A05DB2">
        <w:rPr>
          <w:sz w:val="20"/>
          <w:szCs w:val="20"/>
        </w:rPr>
        <w:t xml:space="preserve">The Colburn School Campus is a modern, state-of-the-art designed set of interconnected buildings located at Olive and Grand Avenues, including </w:t>
      </w:r>
      <w:r w:rsidR="00A262DC" w:rsidRPr="00A05DB2">
        <w:rPr>
          <w:sz w:val="20"/>
          <w:szCs w:val="20"/>
        </w:rPr>
        <w:t xml:space="preserve">421,846 square feet of performance halls, rehearsal areas, practice rooms, teaching studios, administrative offices, </w:t>
      </w:r>
      <w:r w:rsidR="006C0C4B" w:rsidRPr="00A05DB2">
        <w:rPr>
          <w:sz w:val="20"/>
          <w:szCs w:val="20"/>
        </w:rPr>
        <w:t xml:space="preserve">and </w:t>
      </w:r>
      <w:r w:rsidR="00A262DC" w:rsidRPr="00A05DB2">
        <w:rPr>
          <w:sz w:val="20"/>
          <w:szCs w:val="20"/>
        </w:rPr>
        <w:t>student housing</w:t>
      </w:r>
      <w:r w:rsidR="00991D39" w:rsidRPr="00A05DB2">
        <w:rPr>
          <w:sz w:val="20"/>
          <w:szCs w:val="20"/>
        </w:rPr>
        <w:t xml:space="preserve">, and a </w:t>
      </w:r>
      <w:r w:rsidR="006C0C4B" w:rsidRPr="00A05DB2">
        <w:rPr>
          <w:sz w:val="20"/>
          <w:szCs w:val="20"/>
        </w:rPr>
        <w:t xml:space="preserve">plaza </w:t>
      </w:r>
      <w:r w:rsidR="00637CB6" w:rsidRPr="00A05DB2">
        <w:rPr>
          <w:sz w:val="20"/>
          <w:szCs w:val="20"/>
        </w:rPr>
        <w:t>i</w:t>
      </w:r>
      <w:r w:rsidR="005E6FDD">
        <w:rPr>
          <w:sz w:val="20"/>
          <w:szCs w:val="20"/>
        </w:rPr>
        <w:t>n</w:t>
      </w:r>
      <w:r w:rsidR="00637CB6" w:rsidRPr="00A05DB2">
        <w:rPr>
          <w:sz w:val="20"/>
          <w:szCs w:val="20"/>
        </w:rPr>
        <w:t xml:space="preserve"> downtown Los Angeles</w:t>
      </w:r>
      <w:r w:rsidR="006C0C4B" w:rsidRPr="00A05DB2">
        <w:rPr>
          <w:sz w:val="20"/>
          <w:szCs w:val="20"/>
        </w:rPr>
        <w:t xml:space="preserve">. </w:t>
      </w:r>
      <w:r w:rsidR="0081089E">
        <w:rPr>
          <w:sz w:val="20"/>
          <w:szCs w:val="20"/>
        </w:rPr>
        <w:t>N</w:t>
      </w:r>
      <w:r w:rsidR="00637CB6" w:rsidRPr="00A05DB2">
        <w:rPr>
          <w:sz w:val="20"/>
          <w:szCs w:val="20"/>
        </w:rPr>
        <w:t>eighbors include the Museum of Contemporary Art (MOCA), Walt Disney Concert Hall, the Music Center</w:t>
      </w:r>
      <w:r w:rsidR="0081089E">
        <w:rPr>
          <w:sz w:val="20"/>
          <w:szCs w:val="20"/>
        </w:rPr>
        <w:t>,</w:t>
      </w:r>
      <w:r w:rsidR="00637CB6" w:rsidRPr="00A05DB2">
        <w:rPr>
          <w:sz w:val="20"/>
          <w:szCs w:val="20"/>
        </w:rPr>
        <w:t xml:space="preserve"> and the Broad Museum.</w:t>
      </w:r>
    </w:p>
    <w:p w14:paraId="39DE9458" w14:textId="5684EAE7" w:rsidR="007D4958" w:rsidRPr="00A05DB2" w:rsidRDefault="006C0C4B" w:rsidP="006C0C4B">
      <w:pPr>
        <w:rPr>
          <w:sz w:val="20"/>
          <w:szCs w:val="20"/>
        </w:rPr>
      </w:pPr>
      <w:r w:rsidRPr="00A05DB2">
        <w:rPr>
          <w:sz w:val="20"/>
          <w:szCs w:val="20"/>
        </w:rPr>
        <w:t xml:space="preserve">The </w:t>
      </w:r>
      <w:r w:rsidR="000066C0" w:rsidRPr="00A05DB2">
        <w:rPr>
          <w:sz w:val="20"/>
          <w:szCs w:val="20"/>
        </w:rPr>
        <w:t>96,846 square-</w:t>
      </w:r>
      <w:r w:rsidRPr="00A05DB2">
        <w:rPr>
          <w:sz w:val="20"/>
          <w:szCs w:val="20"/>
        </w:rPr>
        <w:t>foot Grand Avenue Building</w:t>
      </w:r>
      <w:r w:rsidR="00637CB6" w:rsidRPr="00A05DB2">
        <w:rPr>
          <w:sz w:val="20"/>
          <w:szCs w:val="20"/>
        </w:rPr>
        <w:t>, designed by the architectural firm Hardy Holzman Pfeiffer Associates,</w:t>
      </w:r>
      <w:r w:rsidRPr="00A05DB2">
        <w:rPr>
          <w:sz w:val="20"/>
          <w:szCs w:val="20"/>
        </w:rPr>
        <w:t xml:space="preserve"> was built</w:t>
      </w:r>
      <w:r w:rsidR="00991D39" w:rsidRPr="00A05DB2">
        <w:rPr>
          <w:sz w:val="20"/>
          <w:szCs w:val="20"/>
        </w:rPr>
        <w:t xml:space="preserve"> in 1998, housing Zipper Hall, rehearsal and studio spaces, and administrative offices. In 2007 a campus e</w:t>
      </w:r>
      <w:r w:rsidR="000066C0" w:rsidRPr="00A05DB2">
        <w:rPr>
          <w:sz w:val="20"/>
          <w:szCs w:val="20"/>
        </w:rPr>
        <w:t>xpansion</w:t>
      </w:r>
      <w:r w:rsidR="00637CB6" w:rsidRPr="00A05DB2">
        <w:rPr>
          <w:sz w:val="20"/>
          <w:szCs w:val="20"/>
        </w:rPr>
        <w:t xml:space="preserve"> </w:t>
      </w:r>
      <w:r w:rsidR="007E0B7B">
        <w:rPr>
          <w:sz w:val="20"/>
          <w:szCs w:val="20"/>
        </w:rPr>
        <w:t>by Pfeiffer Partners Architects</w:t>
      </w:r>
      <w:r w:rsidR="000066C0" w:rsidRPr="00A05DB2">
        <w:rPr>
          <w:sz w:val="20"/>
          <w:szCs w:val="20"/>
        </w:rPr>
        <w:t xml:space="preserve"> was completed, adding the </w:t>
      </w:r>
      <w:r w:rsidR="00991D39" w:rsidRPr="00A05DB2">
        <w:rPr>
          <w:sz w:val="20"/>
          <w:szCs w:val="20"/>
        </w:rPr>
        <w:t>325,000 square</w:t>
      </w:r>
      <w:r w:rsidR="000066C0" w:rsidRPr="00A05DB2">
        <w:rPr>
          <w:sz w:val="20"/>
          <w:szCs w:val="20"/>
        </w:rPr>
        <w:t>-</w:t>
      </w:r>
      <w:r w:rsidR="00991D39" w:rsidRPr="00A05DB2">
        <w:rPr>
          <w:sz w:val="20"/>
          <w:szCs w:val="20"/>
        </w:rPr>
        <w:t>foot Olive Street Building</w:t>
      </w:r>
      <w:r w:rsidR="00637CB6" w:rsidRPr="00A05DB2">
        <w:rPr>
          <w:sz w:val="20"/>
          <w:szCs w:val="20"/>
        </w:rPr>
        <w:t xml:space="preserve"> with </w:t>
      </w:r>
      <w:r w:rsidR="007D4958" w:rsidRPr="00A05DB2">
        <w:rPr>
          <w:sz w:val="20"/>
          <w:szCs w:val="20"/>
        </w:rPr>
        <w:t>more reh</w:t>
      </w:r>
      <w:r w:rsidR="00012E38" w:rsidRPr="00A05DB2">
        <w:rPr>
          <w:sz w:val="20"/>
          <w:szCs w:val="20"/>
        </w:rPr>
        <w:t>earsal, studio, and performance</w:t>
      </w:r>
      <w:r w:rsidR="007D4958" w:rsidRPr="00A05DB2">
        <w:rPr>
          <w:sz w:val="20"/>
          <w:szCs w:val="20"/>
        </w:rPr>
        <w:t xml:space="preserve"> spaces, as well as stude</w:t>
      </w:r>
      <w:r w:rsidR="007E0B7B">
        <w:rPr>
          <w:sz w:val="20"/>
          <w:szCs w:val="20"/>
        </w:rPr>
        <w:t xml:space="preserve">nt housing, offices, and a café. The two buildings are </w:t>
      </w:r>
      <w:r w:rsidR="00991D39" w:rsidRPr="00A05DB2">
        <w:rPr>
          <w:sz w:val="20"/>
          <w:szCs w:val="20"/>
        </w:rPr>
        <w:t xml:space="preserve">connected by an 8,600 square foot plaza. </w:t>
      </w:r>
    </w:p>
    <w:p w14:paraId="0646743D" w14:textId="4CBF4C58" w:rsidR="00A11F7E" w:rsidRPr="00A05DB2" w:rsidRDefault="00637CB6">
      <w:pPr>
        <w:rPr>
          <w:sz w:val="20"/>
          <w:szCs w:val="20"/>
        </w:rPr>
      </w:pPr>
      <w:r w:rsidRPr="00A05DB2">
        <w:rPr>
          <w:sz w:val="20"/>
          <w:szCs w:val="20"/>
        </w:rPr>
        <w:t>Also within the Grand Avenue Building is an important piece of musical history: the Lloyd Wright-designed studio of legendary violinist Jascha Heifetz. Originally situated in the late Heifetz’s backyard, it was saved from demolition and rebuilt on the third floor of the building. It is currently the teaching studio of violinist Robert Lipsett, Jascha Heifetz Distinguished Violin Chair.</w:t>
      </w:r>
    </w:p>
    <w:p w14:paraId="7CB315C3" w14:textId="57E5EC93" w:rsidR="000066C0" w:rsidRPr="00A05DB2" w:rsidRDefault="0015339B" w:rsidP="00F13707">
      <w:pPr>
        <w:keepLines/>
        <w:contextualSpacing/>
        <w:rPr>
          <w:sz w:val="20"/>
          <w:szCs w:val="20"/>
        </w:rPr>
      </w:pPr>
      <w:r w:rsidRPr="00A05DB2">
        <w:rPr>
          <w:b/>
          <w:sz w:val="20"/>
          <w:szCs w:val="20"/>
        </w:rPr>
        <w:t>Performance Halls</w:t>
      </w:r>
    </w:p>
    <w:p w14:paraId="7D56C56F" w14:textId="29A5CE9F" w:rsidR="000066C0" w:rsidRPr="00A05DB2" w:rsidRDefault="000066C0" w:rsidP="00F13707">
      <w:pPr>
        <w:pStyle w:val="ListParagraph"/>
        <w:keepLines/>
        <w:numPr>
          <w:ilvl w:val="0"/>
          <w:numId w:val="1"/>
        </w:numPr>
        <w:rPr>
          <w:b/>
          <w:sz w:val="20"/>
          <w:szCs w:val="20"/>
        </w:rPr>
      </w:pPr>
      <w:r w:rsidRPr="00A05DB2">
        <w:rPr>
          <w:b/>
          <w:sz w:val="20"/>
          <w:szCs w:val="20"/>
        </w:rPr>
        <w:t xml:space="preserve">Zipper Hall </w:t>
      </w:r>
      <w:r w:rsidRPr="00A05DB2">
        <w:rPr>
          <w:sz w:val="20"/>
          <w:szCs w:val="20"/>
        </w:rPr>
        <w:t xml:space="preserve">– Located in the Grand Avenue Building and named in honor of the late Herbert Zipper, the 430-seat </w:t>
      </w:r>
      <w:r w:rsidR="00637CB6" w:rsidRPr="00A05DB2">
        <w:rPr>
          <w:sz w:val="20"/>
          <w:szCs w:val="20"/>
        </w:rPr>
        <w:t>auditorium with a 1,100 square-foot stage</w:t>
      </w:r>
      <w:r w:rsidRPr="00A05DB2">
        <w:rPr>
          <w:sz w:val="20"/>
          <w:szCs w:val="20"/>
        </w:rPr>
        <w:t xml:space="preserve"> serves as a performance space for </w:t>
      </w:r>
      <w:r w:rsidR="00BA461F">
        <w:rPr>
          <w:sz w:val="20"/>
          <w:szCs w:val="20"/>
        </w:rPr>
        <w:t xml:space="preserve">students and faculty, as well as </w:t>
      </w:r>
      <w:r w:rsidRPr="00A05DB2">
        <w:rPr>
          <w:sz w:val="20"/>
          <w:szCs w:val="20"/>
        </w:rPr>
        <w:t>visiting artists and ensembles.</w:t>
      </w:r>
      <w:r w:rsidR="00637CB6" w:rsidRPr="00A05DB2">
        <w:rPr>
          <w:sz w:val="20"/>
          <w:szCs w:val="20"/>
        </w:rPr>
        <w:t xml:space="preserve"> </w:t>
      </w:r>
    </w:p>
    <w:p w14:paraId="04E12D3D" w14:textId="39B0B935" w:rsidR="000066C0" w:rsidRPr="00A05DB2" w:rsidRDefault="000066C0" w:rsidP="00F13707">
      <w:pPr>
        <w:pStyle w:val="ListParagraph"/>
        <w:keepLines/>
        <w:numPr>
          <w:ilvl w:val="0"/>
          <w:numId w:val="1"/>
        </w:numPr>
        <w:rPr>
          <w:b/>
          <w:sz w:val="20"/>
          <w:szCs w:val="20"/>
        </w:rPr>
      </w:pPr>
      <w:r w:rsidRPr="00A05DB2">
        <w:rPr>
          <w:b/>
          <w:sz w:val="20"/>
          <w:szCs w:val="20"/>
        </w:rPr>
        <w:t>Thayer Hall</w:t>
      </w:r>
      <w:r w:rsidRPr="00A05DB2">
        <w:rPr>
          <w:sz w:val="20"/>
          <w:szCs w:val="20"/>
        </w:rPr>
        <w:t xml:space="preserve"> – Located in the Olive Street Building, Thayer Hall is a </w:t>
      </w:r>
      <w:r w:rsidR="00012E38" w:rsidRPr="00A05DB2">
        <w:rPr>
          <w:sz w:val="20"/>
          <w:szCs w:val="20"/>
        </w:rPr>
        <w:t>193</w:t>
      </w:r>
      <w:r w:rsidRPr="00A05DB2">
        <w:rPr>
          <w:sz w:val="20"/>
          <w:szCs w:val="20"/>
        </w:rPr>
        <w:t xml:space="preserve">-seat </w:t>
      </w:r>
      <w:r w:rsidR="00BA461F">
        <w:rPr>
          <w:sz w:val="20"/>
          <w:szCs w:val="20"/>
        </w:rPr>
        <w:t>recital space</w:t>
      </w:r>
      <w:r w:rsidR="00637CB6" w:rsidRPr="00A05DB2">
        <w:rPr>
          <w:sz w:val="20"/>
          <w:szCs w:val="20"/>
        </w:rPr>
        <w:t xml:space="preserve"> with a 550 square-foot stage</w:t>
      </w:r>
      <w:r w:rsidRPr="00A05DB2">
        <w:rPr>
          <w:sz w:val="20"/>
          <w:szCs w:val="20"/>
        </w:rPr>
        <w:t xml:space="preserve"> which hosts numerous recitals and master classes throughout the year.</w:t>
      </w:r>
    </w:p>
    <w:p w14:paraId="4D911EA7" w14:textId="4B3A43AF" w:rsidR="000066C0" w:rsidRPr="00A05DB2" w:rsidRDefault="000066C0" w:rsidP="00F13707">
      <w:pPr>
        <w:pStyle w:val="ListParagraph"/>
        <w:keepLines/>
        <w:numPr>
          <w:ilvl w:val="0"/>
          <w:numId w:val="1"/>
        </w:numPr>
        <w:rPr>
          <w:b/>
          <w:sz w:val="20"/>
          <w:szCs w:val="20"/>
        </w:rPr>
      </w:pPr>
      <w:r w:rsidRPr="00A05DB2">
        <w:rPr>
          <w:b/>
          <w:sz w:val="20"/>
          <w:szCs w:val="20"/>
        </w:rPr>
        <w:t xml:space="preserve">Mayman Recital Hall </w:t>
      </w:r>
      <w:r w:rsidRPr="00A05DB2">
        <w:rPr>
          <w:sz w:val="20"/>
          <w:szCs w:val="20"/>
        </w:rPr>
        <w:t>– The</w:t>
      </w:r>
      <w:r w:rsidR="00637CB6" w:rsidRPr="00A05DB2">
        <w:rPr>
          <w:sz w:val="20"/>
          <w:szCs w:val="20"/>
        </w:rPr>
        <w:t xml:space="preserve"> flexible</w:t>
      </w:r>
      <w:r w:rsidRPr="00A05DB2">
        <w:rPr>
          <w:sz w:val="20"/>
          <w:szCs w:val="20"/>
        </w:rPr>
        <w:t xml:space="preserve"> 80-seat Mayman Recital Hall is located in the Grand Avenue </w:t>
      </w:r>
      <w:r w:rsidR="00637CB6" w:rsidRPr="00A05DB2">
        <w:rPr>
          <w:sz w:val="20"/>
          <w:szCs w:val="20"/>
        </w:rPr>
        <w:t>Building, with a stage of about 800 feet.</w:t>
      </w:r>
    </w:p>
    <w:p w14:paraId="5351CDED" w14:textId="77777777" w:rsidR="0015339B" w:rsidRPr="00A05DB2" w:rsidRDefault="0015339B" w:rsidP="00F13707">
      <w:pPr>
        <w:keepLines/>
        <w:contextualSpacing/>
        <w:rPr>
          <w:b/>
          <w:sz w:val="20"/>
          <w:szCs w:val="20"/>
        </w:rPr>
      </w:pPr>
      <w:r w:rsidRPr="00A05DB2">
        <w:rPr>
          <w:b/>
          <w:sz w:val="20"/>
          <w:szCs w:val="20"/>
        </w:rPr>
        <w:t>Rehearsal Halls</w:t>
      </w:r>
      <w:bookmarkStart w:id="0" w:name="_GoBack"/>
      <w:bookmarkEnd w:id="0"/>
    </w:p>
    <w:p w14:paraId="0455CE19" w14:textId="225AAFA0" w:rsidR="000066C0" w:rsidRPr="00A05DB2" w:rsidRDefault="00BA461F" w:rsidP="00F13707">
      <w:pPr>
        <w:pStyle w:val="ListParagraph"/>
        <w:keepLines/>
        <w:numPr>
          <w:ilvl w:val="0"/>
          <w:numId w:val="2"/>
        </w:numPr>
        <w:rPr>
          <w:b/>
          <w:sz w:val="20"/>
          <w:szCs w:val="20"/>
        </w:rPr>
      </w:pPr>
      <w:r>
        <w:rPr>
          <w:b/>
          <w:sz w:val="20"/>
          <w:szCs w:val="20"/>
        </w:rPr>
        <w:t>Olive Rehearsal</w:t>
      </w:r>
      <w:r>
        <w:rPr>
          <w:sz w:val="20"/>
          <w:szCs w:val="20"/>
        </w:rPr>
        <w:t xml:space="preserve"> </w:t>
      </w:r>
      <w:r w:rsidRPr="00E47ED2">
        <w:rPr>
          <w:sz w:val="20"/>
          <w:szCs w:val="20"/>
        </w:rPr>
        <w:t>– 5,700 sq. ft.</w:t>
      </w:r>
    </w:p>
    <w:p w14:paraId="6AD0561E" w14:textId="2A1294D1" w:rsidR="000066C0" w:rsidRPr="00A05DB2" w:rsidRDefault="000066C0" w:rsidP="00F13707">
      <w:pPr>
        <w:pStyle w:val="ListParagraph"/>
        <w:keepLines/>
        <w:numPr>
          <w:ilvl w:val="0"/>
          <w:numId w:val="2"/>
        </w:numPr>
        <w:rPr>
          <w:b/>
          <w:sz w:val="20"/>
          <w:szCs w:val="20"/>
        </w:rPr>
      </w:pPr>
      <w:r w:rsidRPr="00A05DB2">
        <w:rPr>
          <w:b/>
          <w:sz w:val="20"/>
          <w:szCs w:val="20"/>
        </w:rPr>
        <w:t xml:space="preserve">Grand Rehearsal </w:t>
      </w:r>
      <w:r w:rsidR="00BA461F" w:rsidRPr="00E47ED2">
        <w:rPr>
          <w:sz w:val="20"/>
          <w:szCs w:val="20"/>
        </w:rPr>
        <w:t>– 1,658 sq. ft.</w:t>
      </w:r>
    </w:p>
    <w:p w14:paraId="5584B036" w14:textId="35ADA50B" w:rsidR="000066C0" w:rsidRPr="00A05DB2" w:rsidRDefault="000066C0" w:rsidP="00F13707">
      <w:pPr>
        <w:pStyle w:val="ListParagraph"/>
        <w:keepLines/>
        <w:numPr>
          <w:ilvl w:val="0"/>
          <w:numId w:val="2"/>
        </w:numPr>
        <w:rPr>
          <w:b/>
          <w:sz w:val="20"/>
          <w:szCs w:val="20"/>
        </w:rPr>
      </w:pPr>
      <w:r w:rsidRPr="00A05DB2">
        <w:rPr>
          <w:b/>
          <w:sz w:val="20"/>
          <w:szCs w:val="20"/>
        </w:rPr>
        <w:t xml:space="preserve">P242 </w:t>
      </w:r>
      <w:r w:rsidR="00BA461F" w:rsidRPr="00BA461F">
        <w:rPr>
          <w:sz w:val="20"/>
          <w:szCs w:val="20"/>
        </w:rPr>
        <w:t>– 700 sq. ft.</w:t>
      </w:r>
      <w:r w:rsidR="00BA461F" w:rsidRPr="00A05DB2">
        <w:rPr>
          <w:b/>
          <w:sz w:val="20"/>
          <w:szCs w:val="20"/>
        </w:rPr>
        <w:t xml:space="preserve"> </w:t>
      </w:r>
    </w:p>
    <w:p w14:paraId="7BC2F2F6" w14:textId="61A16213" w:rsidR="00637CB6" w:rsidRPr="00A05DB2" w:rsidRDefault="00637CB6">
      <w:pPr>
        <w:rPr>
          <w:b/>
          <w:sz w:val="20"/>
          <w:szCs w:val="20"/>
        </w:rPr>
      </w:pPr>
      <w:r w:rsidRPr="00A05DB2">
        <w:rPr>
          <w:b/>
          <w:sz w:val="20"/>
          <w:szCs w:val="20"/>
        </w:rPr>
        <w:t>Colburn School Library</w:t>
      </w:r>
      <w:r w:rsidR="00A11F7E" w:rsidRPr="00A05DB2">
        <w:rPr>
          <w:b/>
          <w:sz w:val="20"/>
          <w:szCs w:val="20"/>
        </w:rPr>
        <w:br/>
      </w:r>
      <w:r w:rsidRPr="00A05DB2">
        <w:rPr>
          <w:sz w:val="20"/>
          <w:szCs w:val="20"/>
        </w:rPr>
        <w:t>The Colburn School Library is open to the public, though check-out privileges are only available to Colburn School students, faculty</w:t>
      </w:r>
      <w:r w:rsidR="00BA461F">
        <w:rPr>
          <w:sz w:val="20"/>
          <w:szCs w:val="20"/>
        </w:rPr>
        <w:t>,</w:t>
      </w:r>
      <w:r w:rsidRPr="00A05DB2">
        <w:rPr>
          <w:sz w:val="20"/>
          <w:szCs w:val="20"/>
        </w:rPr>
        <w:t xml:space="preserve"> and staff. The Library currently houses approximately 10,000 scores and parts, 7,000 audio-visual materials, and 3,600 books. </w:t>
      </w:r>
    </w:p>
    <w:p w14:paraId="12C256EB" w14:textId="6484633B" w:rsidR="00DD6DDF" w:rsidRPr="00A05DB2" w:rsidRDefault="0015339B" w:rsidP="00DD6DDF">
      <w:pPr>
        <w:rPr>
          <w:sz w:val="20"/>
          <w:szCs w:val="20"/>
        </w:rPr>
      </w:pPr>
      <w:r w:rsidRPr="00A05DB2">
        <w:rPr>
          <w:b/>
          <w:sz w:val="20"/>
          <w:szCs w:val="20"/>
        </w:rPr>
        <w:t>C</w:t>
      </w:r>
      <w:r w:rsidR="006D0744" w:rsidRPr="00A05DB2">
        <w:rPr>
          <w:b/>
          <w:sz w:val="20"/>
          <w:szCs w:val="20"/>
        </w:rPr>
        <w:t>olburn Café</w:t>
      </w:r>
      <w:r w:rsidR="00A11F7E" w:rsidRPr="00A05DB2">
        <w:rPr>
          <w:b/>
          <w:sz w:val="20"/>
          <w:szCs w:val="20"/>
        </w:rPr>
        <w:br/>
      </w:r>
      <w:r w:rsidR="006D0744" w:rsidRPr="00A05DB2">
        <w:rPr>
          <w:sz w:val="20"/>
          <w:szCs w:val="20"/>
        </w:rPr>
        <w:t>The Colburn Café is located in the Olive Street Building</w:t>
      </w:r>
      <w:r w:rsidR="00234581">
        <w:rPr>
          <w:sz w:val="20"/>
          <w:szCs w:val="20"/>
        </w:rPr>
        <w:t>, accessible from the plaza. The café is</w:t>
      </w:r>
      <w:r w:rsidR="006D0744" w:rsidRPr="00A05DB2">
        <w:rPr>
          <w:sz w:val="20"/>
          <w:szCs w:val="20"/>
        </w:rPr>
        <w:t xml:space="preserve"> open to the </w:t>
      </w:r>
      <w:r w:rsidR="00880306" w:rsidRPr="00A05DB2">
        <w:rPr>
          <w:sz w:val="20"/>
          <w:szCs w:val="20"/>
        </w:rPr>
        <w:t>public</w:t>
      </w:r>
      <w:r w:rsidR="00234581">
        <w:rPr>
          <w:sz w:val="20"/>
          <w:szCs w:val="20"/>
        </w:rPr>
        <w:t xml:space="preserve"> and operated by Bon Appétit Management Company. </w:t>
      </w:r>
    </w:p>
    <w:p w14:paraId="60AA680D" w14:textId="448D34B0" w:rsidR="00F91851" w:rsidRPr="00DD6DDF" w:rsidRDefault="00F91851" w:rsidP="00DD6DDF">
      <w:pPr>
        <w:jc w:val="center"/>
        <w:rPr>
          <w:rFonts w:ascii="ScalaSansPro" w:hAnsi="ScalaSansPro"/>
          <w:sz w:val="20"/>
          <w:szCs w:val="20"/>
        </w:rPr>
      </w:pPr>
      <w:r>
        <w:rPr>
          <w:rFonts w:ascii="ScalaSansPro" w:hAnsi="ScalaSansPro"/>
          <w:sz w:val="20"/>
          <w:szCs w:val="20"/>
        </w:rPr>
        <w:t>###</w:t>
      </w:r>
    </w:p>
    <w:sectPr w:rsidR="00F91851" w:rsidRPr="00DD6DDF" w:rsidSect="00DD6DDF">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dobe Garamond Pro">
    <w:panose1 w:val="02020502060506020403"/>
    <w:charset w:val="00"/>
    <w:family w:val="auto"/>
    <w:pitch w:val="variable"/>
    <w:sig w:usb0="00000007" w:usb1="00000001" w:usb2="00000000" w:usb3="00000000" w:csb0="00000093" w:csb1="00000000"/>
  </w:font>
  <w:font w:name="ScalaSansPro">
    <w:panose1 w:val="020B0504030101020102"/>
    <w:charset w:val="00"/>
    <w:family w:val="auto"/>
    <w:pitch w:val="variable"/>
    <w:sig w:usb0="A00000FF" w:usb1="5000E05B" w:usb2="00000000" w:usb3="00000000" w:csb0="00000093"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4F2EBD"/>
    <w:multiLevelType w:val="hybridMultilevel"/>
    <w:tmpl w:val="97F65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53C63E7"/>
    <w:multiLevelType w:val="hybridMultilevel"/>
    <w:tmpl w:val="A4E6B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134375B"/>
    <w:multiLevelType w:val="hybridMultilevel"/>
    <w:tmpl w:val="B8EE21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339B"/>
    <w:rsid w:val="000066C0"/>
    <w:rsid w:val="00012E38"/>
    <w:rsid w:val="0015339B"/>
    <w:rsid w:val="001C14D2"/>
    <w:rsid w:val="00234581"/>
    <w:rsid w:val="005E6FDD"/>
    <w:rsid w:val="005F2DCF"/>
    <w:rsid w:val="00637CB6"/>
    <w:rsid w:val="006C0C4B"/>
    <w:rsid w:val="006C34AC"/>
    <w:rsid w:val="006C70BE"/>
    <w:rsid w:val="006D0744"/>
    <w:rsid w:val="00710689"/>
    <w:rsid w:val="007D324A"/>
    <w:rsid w:val="007D4958"/>
    <w:rsid w:val="007D64C3"/>
    <w:rsid w:val="007E0B7B"/>
    <w:rsid w:val="0081089E"/>
    <w:rsid w:val="00880306"/>
    <w:rsid w:val="00931A79"/>
    <w:rsid w:val="00991D39"/>
    <w:rsid w:val="009F778E"/>
    <w:rsid w:val="00A05DB2"/>
    <w:rsid w:val="00A11F7E"/>
    <w:rsid w:val="00A262DC"/>
    <w:rsid w:val="00BA461F"/>
    <w:rsid w:val="00CB7884"/>
    <w:rsid w:val="00D33EC6"/>
    <w:rsid w:val="00DD6DDF"/>
    <w:rsid w:val="00F02085"/>
    <w:rsid w:val="00F13707"/>
    <w:rsid w:val="00F54F75"/>
    <w:rsid w:val="00F550C8"/>
    <w:rsid w:val="00F91851"/>
    <w:rsid w:val="00FC710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03C071"/>
  <w15:chartTrackingRefBased/>
  <w15:docId w15:val="{86977567-0B3F-4AA2-8E2A-CDAACA9035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66C0"/>
    <w:pPr>
      <w:ind w:left="720"/>
      <w:contextualSpacing/>
    </w:pPr>
  </w:style>
  <w:style w:type="character" w:styleId="CommentReference">
    <w:name w:val="annotation reference"/>
    <w:basedOn w:val="DefaultParagraphFont"/>
    <w:uiPriority w:val="99"/>
    <w:semiHidden/>
    <w:unhideWhenUsed/>
    <w:rsid w:val="00637CB6"/>
    <w:rPr>
      <w:sz w:val="16"/>
      <w:szCs w:val="16"/>
    </w:rPr>
  </w:style>
  <w:style w:type="paragraph" w:styleId="CommentText">
    <w:name w:val="annotation text"/>
    <w:basedOn w:val="Normal"/>
    <w:link w:val="CommentTextChar"/>
    <w:uiPriority w:val="99"/>
    <w:semiHidden/>
    <w:unhideWhenUsed/>
    <w:rsid w:val="00637CB6"/>
    <w:pPr>
      <w:spacing w:line="240" w:lineRule="auto"/>
    </w:pPr>
    <w:rPr>
      <w:sz w:val="20"/>
      <w:szCs w:val="20"/>
    </w:rPr>
  </w:style>
  <w:style w:type="character" w:customStyle="1" w:styleId="CommentTextChar">
    <w:name w:val="Comment Text Char"/>
    <w:basedOn w:val="DefaultParagraphFont"/>
    <w:link w:val="CommentText"/>
    <w:uiPriority w:val="99"/>
    <w:semiHidden/>
    <w:rsid w:val="00637CB6"/>
    <w:rPr>
      <w:sz w:val="20"/>
      <w:szCs w:val="20"/>
    </w:rPr>
  </w:style>
  <w:style w:type="paragraph" w:styleId="CommentSubject">
    <w:name w:val="annotation subject"/>
    <w:basedOn w:val="CommentText"/>
    <w:next w:val="CommentText"/>
    <w:link w:val="CommentSubjectChar"/>
    <w:uiPriority w:val="99"/>
    <w:semiHidden/>
    <w:unhideWhenUsed/>
    <w:rsid w:val="00637CB6"/>
    <w:rPr>
      <w:b/>
      <w:bCs/>
    </w:rPr>
  </w:style>
  <w:style w:type="character" w:customStyle="1" w:styleId="CommentSubjectChar">
    <w:name w:val="Comment Subject Char"/>
    <w:basedOn w:val="CommentTextChar"/>
    <w:link w:val="CommentSubject"/>
    <w:uiPriority w:val="99"/>
    <w:semiHidden/>
    <w:rsid w:val="00637CB6"/>
    <w:rPr>
      <w:b/>
      <w:bCs/>
      <w:sz w:val="20"/>
      <w:szCs w:val="20"/>
    </w:rPr>
  </w:style>
  <w:style w:type="paragraph" w:styleId="BalloonText">
    <w:name w:val="Balloon Text"/>
    <w:basedOn w:val="Normal"/>
    <w:link w:val="BalloonTextChar"/>
    <w:uiPriority w:val="99"/>
    <w:semiHidden/>
    <w:unhideWhenUsed/>
    <w:rsid w:val="00637C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7CB6"/>
    <w:rPr>
      <w:rFonts w:ascii="Segoe UI" w:hAnsi="Segoe UI" w:cs="Segoe UI"/>
      <w:sz w:val="18"/>
      <w:szCs w:val="18"/>
    </w:rPr>
  </w:style>
  <w:style w:type="paragraph" w:styleId="NormalWeb">
    <w:name w:val="Normal (Web)"/>
    <w:basedOn w:val="Normal"/>
    <w:uiPriority w:val="99"/>
    <w:unhideWhenUsed/>
    <w:rsid w:val="00F13707"/>
    <w:pPr>
      <w:spacing w:after="240" w:line="240" w:lineRule="auto"/>
    </w:pPr>
    <w:rPr>
      <w:rFonts w:ascii="Arial" w:eastAsia="Times New Roman" w:hAnsi="Arial" w:cs="Arial"/>
      <w:sz w:val="24"/>
      <w:szCs w:val="24"/>
    </w:rPr>
  </w:style>
  <w:style w:type="character" w:styleId="Hyperlink">
    <w:name w:val="Hyperlink"/>
    <w:basedOn w:val="DefaultParagraphFont"/>
    <w:uiPriority w:val="99"/>
    <w:unhideWhenUsed/>
    <w:rsid w:val="00F13707"/>
    <w:rPr>
      <w:color w:val="0563C1" w:themeColor="hyperlink"/>
      <w:u w:val="single"/>
    </w:rPr>
  </w:style>
  <w:style w:type="character" w:styleId="Strong">
    <w:name w:val="Strong"/>
    <w:basedOn w:val="DefaultParagraphFont"/>
    <w:uiPriority w:val="22"/>
    <w:qFormat/>
    <w:rsid w:val="00F1370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lmatchett@colburnschool.edu"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885750-C4C0-0C45-841B-A1795D7EB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397</Words>
  <Characters>2264</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Lillian Matchett</dc:creator>
  <cp:keywords/>
  <dc:description/>
  <cp:lastModifiedBy>Microsoft Office User</cp:lastModifiedBy>
  <cp:revision>2</cp:revision>
  <dcterms:created xsi:type="dcterms:W3CDTF">2017-06-21T00:21:00Z</dcterms:created>
  <dcterms:modified xsi:type="dcterms:W3CDTF">2017-06-21T00:21:00Z</dcterms:modified>
</cp:coreProperties>
</file>